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A89" w:rsidRPr="00674DC5" w:rsidRDefault="00074A89" w:rsidP="00074A89">
      <w:pPr>
        <w:spacing w:after="0"/>
        <w:rPr>
          <w:rFonts w:ascii="Times New Roman" w:hAnsi="Times New Roman" w:cs="Times New Roman"/>
          <w:b/>
          <w:sz w:val="28"/>
          <w:szCs w:val="28"/>
        </w:rPr>
      </w:pPr>
      <w:r w:rsidRPr="00674DC5">
        <w:rPr>
          <w:rFonts w:ascii="Times New Roman" w:hAnsi="Times New Roman" w:cs="Times New Roman"/>
          <w:b/>
          <w:sz w:val="28"/>
          <w:szCs w:val="28"/>
        </w:rPr>
        <w:t>Reading a Business Statement</w:t>
      </w:r>
      <w:r w:rsidR="006C1B4D">
        <w:rPr>
          <w:rFonts w:ascii="Times New Roman" w:hAnsi="Times New Roman" w:cs="Times New Roman"/>
          <w:b/>
          <w:sz w:val="28"/>
          <w:szCs w:val="28"/>
        </w:rPr>
        <w:t xml:space="preserve"> (100 pts.)</w:t>
      </w:r>
    </w:p>
    <w:p w:rsidR="00FA5764" w:rsidRPr="00674DC5" w:rsidRDefault="00074A89" w:rsidP="00074A89">
      <w:pPr>
        <w:spacing w:after="0"/>
        <w:rPr>
          <w:rFonts w:ascii="Times New Roman" w:hAnsi="Times New Roman" w:cs="Times New Roman"/>
        </w:rPr>
      </w:pPr>
      <w:r w:rsidRPr="00674DC5">
        <w:rPr>
          <w:rFonts w:ascii="Times New Roman" w:hAnsi="Times New Roman" w:cs="Times New Roman"/>
        </w:rPr>
        <w:t>The first step in a top-down, client-centric database design is to understand the business’ needs and how the business functions.  This is normally found in what is called a business statement or sometimes a mission statement.  Your task is to identify candidate classes and candidate methods (behaviors) and the easiest way to do that is to recall grade school grammar.  In other words, classes are nouns and methods are verbs.</w:t>
      </w:r>
    </w:p>
    <w:p w:rsidR="00074A89" w:rsidRPr="00674DC5" w:rsidRDefault="00074A89" w:rsidP="00074A89">
      <w:pPr>
        <w:spacing w:after="0"/>
        <w:rPr>
          <w:rFonts w:ascii="Times New Roman" w:hAnsi="Times New Roman" w:cs="Times New Roman"/>
        </w:rPr>
      </w:pPr>
    </w:p>
    <w:p w:rsidR="00074A89" w:rsidRPr="00674DC5" w:rsidRDefault="00074A89" w:rsidP="00074A89">
      <w:pPr>
        <w:spacing w:after="0"/>
        <w:rPr>
          <w:rFonts w:ascii="Times New Roman" w:hAnsi="Times New Roman" w:cs="Times New Roman"/>
        </w:rPr>
      </w:pPr>
      <w:r w:rsidRPr="00674DC5">
        <w:rPr>
          <w:rFonts w:ascii="Times New Roman" w:hAnsi="Times New Roman" w:cs="Times New Roman"/>
        </w:rPr>
        <w:t xml:space="preserve">Using the mission statement for Oakland County Michigan, </w:t>
      </w:r>
      <w:r w:rsidR="00912E4B">
        <w:rPr>
          <w:rFonts w:ascii="Times New Roman" w:hAnsi="Times New Roman" w:cs="Times New Roman"/>
        </w:rPr>
        <w:t xml:space="preserve">highlight all </w:t>
      </w:r>
      <w:r w:rsidR="00912E4B" w:rsidRPr="00912E4B">
        <w:rPr>
          <w:rFonts w:ascii="Times New Roman" w:hAnsi="Times New Roman" w:cs="Times New Roman"/>
          <w:highlight w:val="yellow"/>
        </w:rPr>
        <w:t>candidate classes in yellow</w:t>
      </w:r>
      <w:r w:rsidR="00912E4B">
        <w:rPr>
          <w:rFonts w:ascii="Times New Roman" w:hAnsi="Times New Roman" w:cs="Times New Roman"/>
        </w:rPr>
        <w:t xml:space="preserve"> (use the highlighter tool in MS Word) and highlight all </w:t>
      </w:r>
      <w:r w:rsidRPr="00912E4B">
        <w:rPr>
          <w:rFonts w:ascii="Times New Roman" w:hAnsi="Times New Roman" w:cs="Times New Roman"/>
          <w:highlight w:val="green"/>
        </w:rPr>
        <w:t xml:space="preserve">candidate methods </w:t>
      </w:r>
      <w:r w:rsidR="00912E4B" w:rsidRPr="00912E4B">
        <w:rPr>
          <w:rFonts w:ascii="Times New Roman" w:hAnsi="Times New Roman" w:cs="Times New Roman"/>
          <w:highlight w:val="green"/>
        </w:rPr>
        <w:t>in green</w:t>
      </w:r>
      <w:r w:rsidRPr="00674DC5">
        <w:rPr>
          <w:rFonts w:ascii="Times New Roman" w:hAnsi="Times New Roman" w:cs="Times New Roman"/>
        </w:rPr>
        <w:t xml:space="preserve">.  </w:t>
      </w:r>
    </w:p>
    <w:p w:rsidR="00074A89" w:rsidRDefault="00074A89" w:rsidP="00074A89">
      <w:pPr>
        <w:spacing w:after="0"/>
      </w:pPr>
    </w:p>
    <w:p w:rsidR="00074A89" w:rsidRPr="00074A89" w:rsidRDefault="00074A89" w:rsidP="00074A89">
      <w:pPr>
        <w:spacing w:before="100" w:after="0" w:line="240" w:lineRule="auto"/>
        <w:ind w:left="720"/>
        <w:rPr>
          <w:rFonts w:ascii="Verdana" w:eastAsia="Times New Roman" w:hAnsi="Verdana" w:cs="Times New Roman"/>
          <w:sz w:val="20"/>
          <w:szCs w:val="20"/>
        </w:rPr>
      </w:pPr>
      <w:r w:rsidRPr="00074A89">
        <w:rPr>
          <w:rFonts w:ascii="Trebuchet MS" w:eastAsia="Times New Roman" w:hAnsi="Trebuchet MS" w:cs="Times New Roman"/>
          <w:sz w:val="27"/>
        </w:rPr>
        <w:t>About Oakland County Enterprise GIS</w:t>
      </w:r>
    </w:p>
    <w:p w:rsidR="00074A89" w:rsidRPr="00074A89" w:rsidRDefault="00074A89" w:rsidP="00074A89">
      <w:pPr>
        <w:spacing w:after="0" w:line="240" w:lineRule="auto"/>
        <w:ind w:left="720"/>
        <w:rPr>
          <w:rFonts w:ascii="Verdana" w:eastAsia="Times New Roman" w:hAnsi="Verdana" w:cs="Times New Roman"/>
          <w:sz w:val="20"/>
          <w:szCs w:val="20"/>
        </w:rPr>
      </w:pPr>
      <w:r w:rsidRPr="00074A89">
        <w:rPr>
          <w:rFonts w:ascii="Verdana" w:eastAsia="Times New Roman" w:hAnsi="Verdana" w:cs="Times New Roman"/>
          <w:sz w:val="20"/>
          <w:szCs w:val="20"/>
        </w:rPr>
        <w:br/>
        <w:t xml:space="preserve">The </w:t>
      </w:r>
      <w:r w:rsidRPr="00074A89">
        <w:rPr>
          <w:rFonts w:ascii="Verdana" w:eastAsia="Times New Roman" w:hAnsi="Verdana" w:cs="Times New Roman"/>
          <w:b/>
          <w:bCs/>
          <w:sz w:val="20"/>
        </w:rPr>
        <w:t>Oakland County enterprise GIS</w:t>
      </w:r>
      <w:r w:rsidRPr="00074A89">
        <w:rPr>
          <w:rFonts w:ascii="Verdana" w:eastAsia="Times New Roman" w:hAnsi="Verdana" w:cs="Times New Roman"/>
          <w:sz w:val="20"/>
          <w:szCs w:val="20"/>
        </w:rPr>
        <w:t xml:space="preserve"> is a multi-faceted program that supports and promotes coordinated "location-based" </w:t>
      </w:r>
      <w:r w:rsidRPr="00074A89">
        <w:rPr>
          <w:rFonts w:ascii="Verdana" w:eastAsia="Times New Roman" w:hAnsi="Verdana" w:cs="Times New Roman"/>
          <w:b/>
          <w:bCs/>
          <w:sz w:val="20"/>
        </w:rPr>
        <w:t>data development and access</w:t>
      </w:r>
      <w:r w:rsidRPr="00074A89">
        <w:rPr>
          <w:rFonts w:ascii="Verdana" w:eastAsia="Times New Roman" w:hAnsi="Verdana" w:cs="Times New Roman"/>
          <w:sz w:val="20"/>
          <w:szCs w:val="20"/>
        </w:rPr>
        <w:t xml:space="preserve"> across jurisdictional and departmental boundaries.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It exemplifies the definition of </w:t>
      </w:r>
      <w:proofErr w:type="gramStart"/>
      <w:r w:rsidRPr="00074A89">
        <w:rPr>
          <w:rFonts w:ascii="Verdana" w:eastAsia="Times New Roman" w:hAnsi="Verdana" w:cs="Times New Roman"/>
          <w:sz w:val="20"/>
          <w:szCs w:val="20"/>
        </w:rPr>
        <w:t>a</w:t>
      </w:r>
      <w:proofErr w:type="gramEnd"/>
      <w:r w:rsidRPr="00074A89">
        <w:rPr>
          <w:rFonts w:ascii="Verdana" w:eastAsia="Times New Roman" w:hAnsi="Verdana" w:cs="Times New Roman"/>
          <w:sz w:val="20"/>
          <w:szCs w:val="20"/>
        </w:rPr>
        <w:t xml:space="preserve"> "enterprise system" through a series of </w:t>
      </w:r>
      <w:r w:rsidRPr="00074A89">
        <w:rPr>
          <w:rFonts w:ascii="Verdana" w:eastAsia="Times New Roman" w:hAnsi="Verdana" w:cs="Times New Roman"/>
          <w:b/>
          <w:bCs/>
          <w:sz w:val="20"/>
        </w:rPr>
        <w:t>coordinated information gathering and sharing activities</w:t>
      </w:r>
      <w:r w:rsidRPr="00074A89">
        <w:rPr>
          <w:rFonts w:ascii="Verdana" w:eastAsia="Times New Roman" w:hAnsi="Verdana" w:cs="Times New Roman"/>
          <w:sz w:val="20"/>
          <w:szCs w:val="20"/>
        </w:rPr>
        <w:t xml:space="preserve"> conducted by more than 10 County agencies and 62 local cities, villages or townships (CVTs).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The County-funded program actively </w:t>
      </w:r>
      <w:r w:rsidRPr="00074A89">
        <w:rPr>
          <w:rFonts w:ascii="Verdana" w:eastAsia="Times New Roman" w:hAnsi="Verdana" w:cs="Times New Roman"/>
          <w:b/>
          <w:bCs/>
          <w:sz w:val="20"/>
        </w:rPr>
        <w:t>assists the local CVTs</w:t>
      </w:r>
      <w:r w:rsidRPr="00074A89">
        <w:rPr>
          <w:rFonts w:ascii="Verdana" w:eastAsia="Times New Roman" w:hAnsi="Verdana" w:cs="Times New Roman"/>
          <w:sz w:val="20"/>
          <w:szCs w:val="20"/>
        </w:rPr>
        <w:t xml:space="preserve"> with GIS development through data and technology sharing. Furthermore, the enterprise GIS program is positioned to support every "location-based" data set and business function that is part of an Oakland County department or local CVT.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At the heart of Oakland County's enterprise GIS implementation is a </w:t>
      </w:r>
      <w:r w:rsidRPr="00074A89">
        <w:rPr>
          <w:rFonts w:ascii="Verdana" w:eastAsia="Times New Roman" w:hAnsi="Verdana" w:cs="Times New Roman"/>
          <w:b/>
          <w:bCs/>
          <w:sz w:val="20"/>
        </w:rPr>
        <w:t xml:space="preserve">central service group called the </w:t>
      </w:r>
      <w:r w:rsidRPr="00074A89">
        <w:rPr>
          <w:rFonts w:ascii="Verdana" w:eastAsia="Times New Roman" w:hAnsi="Verdana" w:cs="Times New Roman"/>
          <w:b/>
          <w:bCs/>
          <w:i/>
          <w:iCs/>
          <w:sz w:val="20"/>
        </w:rPr>
        <w:t>GIS Utility</w:t>
      </w:r>
      <w:r w:rsidRPr="00074A89">
        <w:rPr>
          <w:rFonts w:ascii="Verdana" w:eastAsia="Times New Roman" w:hAnsi="Verdana" w:cs="Times New Roman"/>
          <w:sz w:val="20"/>
          <w:szCs w:val="20"/>
        </w:rPr>
        <w:t xml:space="preserve">. The GIS Utility performs GIS services on behalf of the entire enterprise and coordinates the efforts of diverse agencies and cities, villages and townships (CVTs).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The GIS Utility serves as a core group of service-oriented individuals dedicated to providing expertise, support and assistance to participating agencies and the general public. With a focus on providing GIS services, the GIS Utility is an </w:t>
      </w:r>
      <w:r w:rsidRPr="00074A89">
        <w:rPr>
          <w:rFonts w:ascii="Verdana" w:eastAsia="Times New Roman" w:hAnsi="Verdana" w:cs="Times New Roman"/>
          <w:b/>
          <w:bCs/>
          <w:i/>
          <w:iCs/>
          <w:sz w:val="20"/>
        </w:rPr>
        <w:t>enabling</w:t>
      </w:r>
      <w:r w:rsidRPr="00074A89">
        <w:rPr>
          <w:rFonts w:ascii="Verdana" w:eastAsia="Times New Roman" w:hAnsi="Verdana" w:cs="Times New Roman"/>
          <w:b/>
          <w:bCs/>
          <w:sz w:val="20"/>
        </w:rPr>
        <w:t xml:space="preserve"> organization</w:t>
      </w:r>
      <w:r w:rsidRPr="00074A89">
        <w:rPr>
          <w:rFonts w:ascii="Verdana" w:eastAsia="Times New Roman" w:hAnsi="Verdana" w:cs="Times New Roman"/>
          <w:sz w:val="20"/>
          <w:szCs w:val="20"/>
        </w:rPr>
        <w:t xml:space="preserve"> that establishes technical standards through consensus and facilitates GIS education through "technology transfer."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It serves as a leader in advancing the </w:t>
      </w:r>
      <w:r w:rsidRPr="00074A89">
        <w:rPr>
          <w:rFonts w:ascii="Verdana" w:eastAsia="Times New Roman" w:hAnsi="Verdana" w:cs="Times New Roman"/>
          <w:b/>
          <w:bCs/>
          <w:sz w:val="20"/>
        </w:rPr>
        <w:t>automation and modernization</w:t>
      </w:r>
      <w:r w:rsidRPr="00074A89">
        <w:rPr>
          <w:rFonts w:ascii="Verdana" w:eastAsia="Times New Roman" w:hAnsi="Verdana" w:cs="Times New Roman"/>
          <w:sz w:val="20"/>
          <w:szCs w:val="20"/>
        </w:rPr>
        <w:t xml:space="preserve"> of </w:t>
      </w:r>
      <w:r w:rsidRPr="00074A89">
        <w:rPr>
          <w:rFonts w:ascii="Verdana" w:eastAsia="Times New Roman" w:hAnsi="Verdana" w:cs="Times New Roman"/>
          <w:b/>
          <w:bCs/>
          <w:sz w:val="20"/>
        </w:rPr>
        <w:t>land administration practices</w:t>
      </w:r>
      <w:r w:rsidRPr="00074A89">
        <w:rPr>
          <w:rFonts w:ascii="Verdana" w:eastAsia="Times New Roman" w:hAnsi="Verdana" w:cs="Times New Roman"/>
          <w:sz w:val="20"/>
          <w:szCs w:val="20"/>
        </w:rPr>
        <w:t xml:space="preserve"> and leveraging existing "location-based" projects to maximize their use across participating agencies and CVTs. In addition to being a mechanism to improve "location-based" data management, the GIS Utility facilitates strategic decision-making and leverages existing GIS expertise in one or more participating organizations.  </w:t>
      </w:r>
      <w:r w:rsidRPr="00074A89">
        <w:rPr>
          <w:rFonts w:ascii="Verdana" w:eastAsia="Times New Roman" w:hAnsi="Verdana" w:cs="Times New Roman"/>
          <w:sz w:val="20"/>
          <w:szCs w:val="20"/>
        </w:rPr>
        <w:br/>
      </w:r>
      <w:r w:rsidRPr="00074A89">
        <w:rPr>
          <w:rFonts w:ascii="Verdana" w:eastAsia="Times New Roman" w:hAnsi="Verdana" w:cs="Times New Roman"/>
          <w:sz w:val="20"/>
          <w:szCs w:val="20"/>
        </w:rPr>
        <w:br/>
        <w:t xml:space="preserve">Within the County, the GIS Utility currently is working with the following agencies: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7" w:history="1">
        <w:r w:rsidR="00074A89" w:rsidRPr="00074A89">
          <w:rPr>
            <w:rFonts w:ascii="Verdana" w:eastAsia="Times New Roman" w:hAnsi="Verdana" w:cs="Times New Roman"/>
            <w:color w:val="0145A7"/>
            <w:sz w:val="20"/>
            <w:u w:val="single"/>
          </w:rPr>
          <w:t>Planning &amp; Economic Development Services (PEDS)</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8" w:history="1">
        <w:r w:rsidR="00074A89" w:rsidRPr="00074A89">
          <w:rPr>
            <w:rFonts w:ascii="Verdana" w:eastAsia="Times New Roman" w:hAnsi="Verdana" w:cs="Times New Roman"/>
            <w:color w:val="0145A7"/>
            <w:sz w:val="20"/>
            <w:u w:val="single"/>
          </w:rPr>
          <w:t>Health Division</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9" w:history="1">
        <w:r w:rsidR="00074A89" w:rsidRPr="00074A89">
          <w:rPr>
            <w:rFonts w:ascii="Verdana" w:eastAsia="Times New Roman" w:hAnsi="Verdana" w:cs="Times New Roman"/>
            <w:color w:val="0145A7"/>
            <w:sz w:val="20"/>
            <w:u w:val="single"/>
          </w:rPr>
          <w:t>Drain Commissioner's Office</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0" w:history="1">
        <w:r w:rsidR="00074A89" w:rsidRPr="00074A89">
          <w:rPr>
            <w:rFonts w:ascii="Verdana" w:eastAsia="Times New Roman" w:hAnsi="Verdana" w:cs="Times New Roman"/>
            <w:color w:val="0145A7"/>
            <w:sz w:val="20"/>
            <w:u w:val="single"/>
          </w:rPr>
          <w:t>Road Commission</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1" w:history="1">
        <w:r w:rsidR="00074A89" w:rsidRPr="00074A89">
          <w:rPr>
            <w:rFonts w:ascii="Verdana" w:eastAsia="Times New Roman" w:hAnsi="Verdana" w:cs="Times New Roman"/>
            <w:color w:val="0145A7"/>
            <w:sz w:val="20"/>
            <w:u w:val="single"/>
          </w:rPr>
          <w:t>Register of Deeds Office (ROD)</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2" w:history="1">
        <w:r w:rsidR="00074A89" w:rsidRPr="00074A89">
          <w:rPr>
            <w:rFonts w:ascii="Verdana" w:eastAsia="Times New Roman" w:hAnsi="Verdana" w:cs="Times New Roman"/>
            <w:color w:val="0145A7"/>
            <w:sz w:val="20"/>
            <w:u w:val="single"/>
          </w:rPr>
          <w:t>Equalization Division</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3" w:history="1">
        <w:r w:rsidR="00074A89" w:rsidRPr="00074A89">
          <w:rPr>
            <w:rFonts w:ascii="Verdana" w:eastAsia="Times New Roman" w:hAnsi="Verdana" w:cs="Times New Roman"/>
            <w:color w:val="0145A7"/>
            <w:sz w:val="20"/>
            <w:u w:val="single"/>
          </w:rPr>
          <w:t>Court &amp; Law Enforcement Management Information System (CLEMIS)</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4" w:history="1">
        <w:r w:rsidR="00074A89" w:rsidRPr="00074A89">
          <w:rPr>
            <w:rFonts w:ascii="Verdana" w:eastAsia="Times New Roman" w:hAnsi="Verdana" w:cs="Times New Roman"/>
            <w:color w:val="0145A7"/>
            <w:sz w:val="20"/>
            <w:u w:val="single"/>
          </w:rPr>
          <w:t>Parks Department</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5" w:history="1">
        <w:r w:rsidR="00074A89" w:rsidRPr="00074A89">
          <w:rPr>
            <w:rFonts w:ascii="Verdana" w:eastAsia="Times New Roman" w:hAnsi="Verdana" w:cs="Times New Roman"/>
            <w:color w:val="0145A7"/>
            <w:sz w:val="20"/>
            <w:u w:val="single"/>
          </w:rPr>
          <w:t>MSU Extension/Oakland County</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6" w:history="1">
        <w:r w:rsidR="00074A89" w:rsidRPr="00074A89">
          <w:rPr>
            <w:rFonts w:ascii="Verdana" w:eastAsia="Times New Roman" w:hAnsi="Verdana" w:cs="Times New Roman"/>
            <w:color w:val="0145A7"/>
            <w:sz w:val="20"/>
            <w:u w:val="single"/>
          </w:rPr>
          <w:t>Oakland County International Airport</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7" w:history="1">
        <w:r w:rsidR="00074A89" w:rsidRPr="00074A89">
          <w:rPr>
            <w:rFonts w:ascii="Verdana" w:eastAsia="Times New Roman" w:hAnsi="Verdana" w:cs="Times New Roman"/>
            <w:color w:val="0145A7"/>
            <w:sz w:val="20"/>
            <w:u w:val="single"/>
          </w:rPr>
          <w:t>Treasurer's Office</w:t>
        </w:r>
      </w:hyperlink>
      <w:r w:rsidR="00074A89" w:rsidRPr="00074A89">
        <w:rPr>
          <w:rFonts w:ascii="Verdana" w:eastAsia="Times New Roman" w:hAnsi="Verdana" w:cs="Times New Roman"/>
          <w:sz w:val="20"/>
          <w:szCs w:val="20"/>
        </w:rPr>
        <w:t xml:space="preserve"> </w:t>
      </w:r>
    </w:p>
    <w:p w:rsidR="00074A89" w:rsidRPr="00074A89" w:rsidRDefault="00AC1FA9" w:rsidP="00074A89">
      <w:pPr>
        <w:numPr>
          <w:ilvl w:val="0"/>
          <w:numId w:val="1"/>
        </w:numPr>
        <w:tabs>
          <w:tab w:val="clear" w:pos="720"/>
          <w:tab w:val="num" w:pos="1440"/>
        </w:tabs>
        <w:spacing w:before="100" w:beforeAutospacing="1" w:after="100" w:afterAutospacing="1" w:line="240" w:lineRule="auto"/>
        <w:ind w:left="1440"/>
        <w:rPr>
          <w:rFonts w:ascii="Verdana" w:eastAsia="Times New Roman" w:hAnsi="Verdana" w:cs="Times New Roman"/>
          <w:sz w:val="20"/>
          <w:szCs w:val="20"/>
        </w:rPr>
      </w:pPr>
      <w:hyperlink r:id="rId18" w:history="1">
        <w:r w:rsidR="00074A89" w:rsidRPr="00074A89">
          <w:rPr>
            <w:rFonts w:ascii="Verdana" w:eastAsia="Times New Roman" w:hAnsi="Verdana" w:cs="Times New Roman"/>
            <w:color w:val="0145A7"/>
            <w:sz w:val="20"/>
            <w:u w:val="single"/>
          </w:rPr>
          <w:t>Emergency Response and Preparedness</w:t>
        </w:r>
      </w:hyperlink>
      <w:r w:rsidR="00074A89" w:rsidRPr="00074A89">
        <w:rPr>
          <w:rFonts w:ascii="Verdana" w:eastAsia="Times New Roman" w:hAnsi="Verdana" w:cs="Times New Roman"/>
          <w:sz w:val="20"/>
          <w:szCs w:val="20"/>
        </w:rPr>
        <w:t xml:space="preserve"> </w:t>
      </w:r>
    </w:p>
    <w:p w:rsidR="00074A89" w:rsidRPr="00074A89" w:rsidRDefault="00074A89" w:rsidP="00074A89">
      <w:pPr>
        <w:spacing w:before="100" w:after="0" w:line="240" w:lineRule="auto"/>
        <w:ind w:left="720"/>
        <w:rPr>
          <w:rFonts w:ascii="Verdana" w:eastAsia="Times New Roman" w:hAnsi="Verdana" w:cs="Times New Roman"/>
          <w:sz w:val="20"/>
          <w:szCs w:val="20"/>
        </w:rPr>
      </w:pPr>
      <w:r w:rsidRPr="00074A89">
        <w:rPr>
          <w:rFonts w:ascii="Verdana" w:eastAsia="Times New Roman" w:hAnsi="Verdana" w:cs="Times New Roman"/>
          <w:sz w:val="20"/>
          <w:szCs w:val="20"/>
        </w:rPr>
        <w:t>Apart from the county agencies, the GIS Utility also works with GIS representatives from 61 local cities, villages, and townships in Oakland County.</w:t>
      </w:r>
    </w:p>
    <w:p w:rsidR="00074A89" w:rsidRDefault="00074A89"/>
    <w:p w:rsidR="006C1B4D" w:rsidRPr="006C1B4D" w:rsidRDefault="006C1B4D">
      <w:pPr>
        <w:rPr>
          <w:rFonts w:ascii="Times New Roman" w:hAnsi="Times New Roman" w:cs="Times New Roman"/>
          <w:color w:val="4F81BD" w:themeColor="accent1"/>
        </w:rPr>
      </w:pPr>
      <w:r w:rsidRPr="006C1B4D">
        <w:rPr>
          <w:rFonts w:ascii="Times New Roman" w:hAnsi="Times New Roman" w:cs="Times New Roman"/>
          <w:color w:val="4F81BD" w:themeColor="accent1"/>
        </w:rPr>
        <w:t xml:space="preserve">50 pts. </w:t>
      </w:r>
      <w:r w:rsidR="004630EA">
        <w:rPr>
          <w:rFonts w:ascii="Times New Roman" w:hAnsi="Times New Roman" w:cs="Times New Roman"/>
          <w:color w:val="4F81BD" w:themeColor="accent1"/>
        </w:rPr>
        <w:t>G</w:t>
      </w:r>
      <w:r w:rsidR="00074A89" w:rsidRPr="006C1B4D">
        <w:rPr>
          <w:rFonts w:ascii="Times New Roman" w:hAnsi="Times New Roman" w:cs="Times New Roman"/>
          <w:color w:val="4F81BD" w:themeColor="accent1"/>
        </w:rPr>
        <w:t xml:space="preserve">o back through the document and list </w:t>
      </w:r>
      <w:r w:rsidR="00837686">
        <w:rPr>
          <w:rFonts w:ascii="Times New Roman" w:hAnsi="Times New Roman" w:cs="Times New Roman"/>
          <w:color w:val="4F81BD" w:themeColor="accent1"/>
        </w:rPr>
        <w:t>at least five</w:t>
      </w:r>
      <w:r w:rsidR="00074A89" w:rsidRPr="006C1B4D">
        <w:rPr>
          <w:rFonts w:ascii="Times New Roman" w:hAnsi="Times New Roman" w:cs="Times New Roman"/>
          <w:color w:val="4F81BD" w:themeColor="accent1"/>
        </w:rPr>
        <w:t xml:space="preserve"> </w:t>
      </w:r>
      <w:r w:rsidR="00074A89" w:rsidRPr="00430024">
        <w:rPr>
          <w:rFonts w:ascii="Times New Roman" w:hAnsi="Times New Roman" w:cs="Times New Roman"/>
          <w:i/>
          <w:color w:val="4F81BD" w:themeColor="accent1"/>
        </w:rPr>
        <w:t>candidate classes</w:t>
      </w:r>
      <w:r w:rsidR="00074A89" w:rsidRPr="006C1B4D">
        <w:rPr>
          <w:rFonts w:ascii="Times New Roman" w:hAnsi="Times New Roman" w:cs="Times New Roman"/>
          <w:color w:val="4F81BD" w:themeColor="accent1"/>
        </w:rPr>
        <w:t xml:space="preserve"> and </w:t>
      </w:r>
      <w:r w:rsidR="00837686">
        <w:rPr>
          <w:rFonts w:ascii="Times New Roman" w:hAnsi="Times New Roman" w:cs="Times New Roman"/>
          <w:color w:val="4F81BD" w:themeColor="accent1"/>
        </w:rPr>
        <w:t xml:space="preserve">five </w:t>
      </w:r>
      <w:r w:rsidRPr="00430024">
        <w:rPr>
          <w:rFonts w:ascii="Times New Roman" w:hAnsi="Times New Roman" w:cs="Times New Roman"/>
          <w:i/>
          <w:color w:val="4F81BD" w:themeColor="accent1"/>
        </w:rPr>
        <w:t xml:space="preserve">candidate </w:t>
      </w:r>
      <w:r w:rsidR="00074A89" w:rsidRPr="00430024">
        <w:rPr>
          <w:rFonts w:ascii="Times New Roman" w:hAnsi="Times New Roman" w:cs="Times New Roman"/>
          <w:i/>
          <w:color w:val="4F81BD" w:themeColor="accent1"/>
        </w:rPr>
        <w:t>methods</w:t>
      </w:r>
      <w:r w:rsidR="00074A89" w:rsidRPr="006C1B4D">
        <w:rPr>
          <w:rFonts w:ascii="Times New Roman" w:hAnsi="Times New Roman" w:cs="Times New Roman"/>
          <w:color w:val="4F81BD" w:themeColor="accent1"/>
        </w:rPr>
        <w:t xml:space="preserve"> under the correct column heading below.</w:t>
      </w:r>
      <w:r w:rsidR="00A049C0" w:rsidRPr="006C1B4D">
        <w:rPr>
          <w:rFonts w:ascii="Times New Roman" w:hAnsi="Times New Roman" w:cs="Times New Roman"/>
          <w:color w:val="4F81BD" w:themeColor="accent1"/>
        </w:rPr>
        <w:t xml:space="preserve"> </w:t>
      </w:r>
    </w:p>
    <w:p w:rsidR="00074A89" w:rsidRPr="00674DC5" w:rsidRDefault="00A049C0">
      <w:pPr>
        <w:rPr>
          <w:rFonts w:ascii="Times New Roman" w:hAnsi="Times New Roman" w:cs="Times New Roman"/>
        </w:rPr>
      </w:pPr>
      <w:r>
        <w:rPr>
          <w:rFonts w:ascii="Times New Roman" w:hAnsi="Times New Roman" w:cs="Times New Roman"/>
        </w:rPr>
        <w:t xml:space="preserve">Do not list the candidate classes or </w:t>
      </w:r>
      <w:r w:rsidR="006C1B4D">
        <w:rPr>
          <w:rFonts w:ascii="Times New Roman" w:hAnsi="Times New Roman" w:cs="Times New Roman"/>
        </w:rPr>
        <w:t xml:space="preserve">candidate </w:t>
      </w:r>
      <w:r>
        <w:rPr>
          <w:rFonts w:ascii="Times New Roman" w:hAnsi="Times New Roman" w:cs="Times New Roman"/>
        </w:rPr>
        <w:t>methods more than once and recall that candidate classes are nouns (people, places, and things) while candidate methods show action and are therefore verbs.</w:t>
      </w:r>
      <w:r w:rsidR="002A7E38">
        <w:rPr>
          <w:rFonts w:ascii="Times New Roman" w:hAnsi="Times New Roman" w:cs="Times New Roman"/>
        </w:rPr>
        <w:t xml:space="preserve"> For this exercise –and for the process of developing your preliminary ERM—list </w:t>
      </w:r>
      <w:r w:rsidR="002A7E38" w:rsidRPr="006C1B4D">
        <w:rPr>
          <w:rFonts w:ascii="Times New Roman" w:hAnsi="Times New Roman" w:cs="Times New Roman"/>
          <w:u w:val="single"/>
        </w:rPr>
        <w:t>proper nouns</w:t>
      </w:r>
      <w:r w:rsidR="002A7E38">
        <w:rPr>
          <w:rFonts w:ascii="Times New Roman" w:hAnsi="Times New Roman" w:cs="Times New Roman"/>
        </w:rPr>
        <w:t xml:space="preserve"> from your list and do not list processes.  For instance, while two or more words in a phrase or title may be all nouns, do not list them separately but rather list them as the proper noun or title/phrase. Make your candidate classes and methods as explicit as the original business statement</w:t>
      </w:r>
      <w:r w:rsidR="00430024">
        <w:rPr>
          <w:rFonts w:ascii="Times New Roman" w:hAnsi="Times New Roman" w:cs="Times New Roman"/>
        </w:rPr>
        <w:t xml:space="preserve"> allows</w:t>
      </w:r>
      <w:r w:rsidR="002A7E38">
        <w:rPr>
          <w:rFonts w:ascii="Times New Roman" w:hAnsi="Times New Roman" w:cs="Times New Roman"/>
        </w:rPr>
        <w:t>.</w:t>
      </w:r>
    </w:p>
    <w:tbl>
      <w:tblPr>
        <w:tblStyle w:val="TableGrid"/>
        <w:tblW w:w="0" w:type="auto"/>
        <w:tblLook w:val="04A0" w:firstRow="1" w:lastRow="0" w:firstColumn="1" w:lastColumn="0" w:noHBand="0" w:noVBand="1"/>
      </w:tblPr>
      <w:tblGrid>
        <w:gridCol w:w="4788"/>
        <w:gridCol w:w="4788"/>
      </w:tblGrid>
      <w:tr w:rsidR="00065F1D" w:rsidRPr="00065F1D" w:rsidTr="00065F1D">
        <w:tc>
          <w:tcPr>
            <w:tcW w:w="4788" w:type="dxa"/>
          </w:tcPr>
          <w:p w:rsidR="00065F1D" w:rsidRPr="00065F1D" w:rsidRDefault="00065F1D" w:rsidP="00065F1D">
            <w:pPr>
              <w:jc w:val="center"/>
              <w:rPr>
                <w:rFonts w:ascii="Times New Roman" w:hAnsi="Times New Roman" w:cs="Times New Roman"/>
                <w:b/>
              </w:rPr>
            </w:pPr>
            <w:r w:rsidRPr="00065F1D">
              <w:rPr>
                <w:rFonts w:ascii="Times New Roman" w:hAnsi="Times New Roman" w:cs="Times New Roman"/>
                <w:b/>
              </w:rPr>
              <w:t>Candidate Classes</w:t>
            </w:r>
          </w:p>
        </w:tc>
        <w:tc>
          <w:tcPr>
            <w:tcW w:w="4788" w:type="dxa"/>
          </w:tcPr>
          <w:p w:rsidR="00065F1D" w:rsidRPr="00065F1D" w:rsidRDefault="00065F1D" w:rsidP="00065F1D">
            <w:pPr>
              <w:jc w:val="center"/>
              <w:rPr>
                <w:rFonts w:ascii="Times New Roman" w:hAnsi="Times New Roman" w:cs="Times New Roman"/>
                <w:b/>
              </w:rPr>
            </w:pPr>
            <w:r w:rsidRPr="00065F1D">
              <w:rPr>
                <w:rFonts w:ascii="Times New Roman" w:hAnsi="Times New Roman" w:cs="Times New Roman"/>
                <w:b/>
              </w:rPr>
              <w:t>Candidate methods</w:t>
            </w:r>
          </w:p>
        </w:tc>
      </w:tr>
      <w:tr w:rsidR="00065F1D" w:rsidRPr="00065F1D" w:rsidTr="00065F1D">
        <w:tc>
          <w:tcPr>
            <w:tcW w:w="4788" w:type="dxa"/>
          </w:tcPr>
          <w:p w:rsidR="00065F1D" w:rsidRPr="00065F1D" w:rsidRDefault="00065F1D" w:rsidP="00065F1D">
            <w:pPr>
              <w:jc w:val="center"/>
              <w:rPr>
                <w:rFonts w:ascii="Times New Roman" w:hAnsi="Times New Roman" w:cs="Times New Roman"/>
                <w:i/>
              </w:rPr>
            </w:pPr>
            <w:r w:rsidRPr="00065F1D">
              <w:rPr>
                <w:rFonts w:ascii="Times New Roman" w:hAnsi="Times New Roman" w:cs="Times New Roman"/>
                <w:i/>
              </w:rPr>
              <w:t>Insert additional rows as needed</w:t>
            </w:r>
          </w:p>
        </w:tc>
        <w:tc>
          <w:tcPr>
            <w:tcW w:w="4788" w:type="dxa"/>
          </w:tcPr>
          <w:p w:rsidR="00065F1D" w:rsidRPr="00065F1D" w:rsidRDefault="00065F1D" w:rsidP="00065F1D">
            <w:pPr>
              <w:jc w:val="center"/>
              <w:rPr>
                <w:rFonts w:ascii="Times New Roman" w:hAnsi="Times New Roman" w:cs="Times New Roman"/>
                <w:i/>
              </w:rPr>
            </w:pPr>
            <w:r w:rsidRPr="00065F1D">
              <w:rPr>
                <w:rFonts w:ascii="Times New Roman" w:hAnsi="Times New Roman" w:cs="Times New Roman"/>
                <w:i/>
              </w:rPr>
              <w:t>Insert additional rows as needed</w:t>
            </w:r>
          </w:p>
        </w:tc>
      </w:tr>
    </w:tbl>
    <w:p w:rsidR="006C22BE" w:rsidRPr="00674DC5" w:rsidRDefault="006C22BE" w:rsidP="00074A89">
      <w:pPr>
        <w:rPr>
          <w:rFonts w:ascii="Times New Roman" w:hAnsi="Times New Roman" w:cs="Times New Roman"/>
        </w:rPr>
      </w:pPr>
    </w:p>
    <w:p w:rsidR="00E50CDF" w:rsidRPr="006C1B4D" w:rsidRDefault="006C1B4D" w:rsidP="00E50CDF">
      <w:pPr>
        <w:numPr>
          <w:ilvl w:val="0"/>
          <w:numId w:val="2"/>
        </w:numPr>
        <w:spacing w:after="0" w:line="240" w:lineRule="auto"/>
        <w:rPr>
          <w:rFonts w:ascii="Times New Roman" w:hAnsi="Times New Roman" w:cs="Times New Roman"/>
          <w:color w:val="4F81BD" w:themeColor="accent1"/>
        </w:rPr>
      </w:pPr>
      <w:r w:rsidRPr="006C1B4D">
        <w:rPr>
          <w:rFonts w:ascii="Times New Roman" w:hAnsi="Times New Roman" w:cs="Times New Roman"/>
          <w:color w:val="4F81BD" w:themeColor="accent1"/>
        </w:rPr>
        <w:t xml:space="preserve">20 pts. </w:t>
      </w:r>
      <w:r w:rsidR="00E50CDF" w:rsidRPr="006C1B4D">
        <w:rPr>
          <w:rFonts w:ascii="Times New Roman" w:hAnsi="Times New Roman" w:cs="Times New Roman"/>
          <w:color w:val="4F81BD" w:themeColor="accent1"/>
        </w:rPr>
        <w:t>I am sure you listed Oakland County Ente</w:t>
      </w:r>
      <w:r w:rsidRPr="006C1B4D">
        <w:rPr>
          <w:rFonts w:ascii="Times New Roman" w:hAnsi="Times New Roman" w:cs="Times New Roman"/>
          <w:color w:val="4F81BD" w:themeColor="accent1"/>
        </w:rPr>
        <w:t>r</w:t>
      </w:r>
      <w:r w:rsidR="00E50CDF" w:rsidRPr="006C1B4D">
        <w:rPr>
          <w:rFonts w:ascii="Times New Roman" w:hAnsi="Times New Roman" w:cs="Times New Roman"/>
          <w:color w:val="4F81BD" w:themeColor="accent1"/>
        </w:rPr>
        <w:t>prise G</w:t>
      </w:r>
      <w:r w:rsidRPr="006C1B4D">
        <w:rPr>
          <w:rFonts w:ascii="Times New Roman" w:hAnsi="Times New Roman" w:cs="Times New Roman"/>
          <w:color w:val="4F81BD" w:themeColor="accent1"/>
        </w:rPr>
        <w:t>I</w:t>
      </w:r>
      <w:r w:rsidR="00E50CDF" w:rsidRPr="006C1B4D">
        <w:rPr>
          <w:rFonts w:ascii="Times New Roman" w:hAnsi="Times New Roman" w:cs="Times New Roman"/>
          <w:color w:val="4F81BD" w:themeColor="accent1"/>
        </w:rPr>
        <w:t>S as a candidate class (good for you!). In the figure below, add the appropriate candidate method(s) that describe</w:t>
      </w:r>
      <w:r w:rsidRPr="006C1B4D">
        <w:rPr>
          <w:rFonts w:ascii="Times New Roman" w:hAnsi="Times New Roman" w:cs="Times New Roman"/>
          <w:color w:val="4F81BD" w:themeColor="accent1"/>
        </w:rPr>
        <w:t>s</w:t>
      </w:r>
      <w:r w:rsidR="00E50CDF" w:rsidRPr="006C1B4D">
        <w:rPr>
          <w:rFonts w:ascii="Times New Roman" w:hAnsi="Times New Roman" w:cs="Times New Roman"/>
          <w:color w:val="4F81BD" w:themeColor="accent1"/>
        </w:rPr>
        <w:t xml:space="preserve"> the Oakland County Enterprise GIS </w:t>
      </w:r>
      <w:r w:rsidR="00120136" w:rsidRPr="006C1B4D">
        <w:rPr>
          <w:rFonts w:ascii="Times New Roman" w:hAnsi="Times New Roman" w:cs="Times New Roman"/>
          <w:i/>
          <w:color w:val="4F81BD" w:themeColor="accent1"/>
        </w:rPr>
        <w:t xml:space="preserve">candidate </w:t>
      </w:r>
      <w:r w:rsidR="00E50CDF" w:rsidRPr="006C1B4D">
        <w:rPr>
          <w:rFonts w:ascii="Times New Roman" w:hAnsi="Times New Roman" w:cs="Times New Roman"/>
          <w:i/>
          <w:color w:val="4F81BD" w:themeColor="accent1"/>
        </w:rPr>
        <w:t>class</w:t>
      </w:r>
      <w:r w:rsidR="00E50CDF" w:rsidRPr="006C1B4D">
        <w:rPr>
          <w:rFonts w:ascii="Times New Roman" w:hAnsi="Times New Roman" w:cs="Times New Roman"/>
          <w:color w:val="4F81BD" w:themeColor="accent1"/>
        </w:rPr>
        <w:t>.</w:t>
      </w:r>
    </w:p>
    <w:p w:rsidR="00E50CDF" w:rsidRDefault="00AC1FA9" w:rsidP="00E50CDF">
      <w:pPr>
        <w:spacing w:after="0" w:line="240" w:lineRule="auto"/>
        <w:ind w:left="720"/>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27" type="#_x0000_t202" style="position:absolute;left:0;text-align:left;margin-left:105pt;margin-top:7.05pt;width:287.25pt;height:147pt;z-index:251658240">
            <v:textbox>
              <w:txbxContent>
                <w:p w:rsidR="00120136" w:rsidRPr="00120136" w:rsidRDefault="00120136">
                  <w:pPr>
                    <w:rPr>
                      <w:b/>
                    </w:rPr>
                  </w:pPr>
                  <w:r w:rsidRPr="00120136">
                    <w:rPr>
                      <w:b/>
                    </w:rPr>
                    <w:t>Oakland County Enterprise GIS</w:t>
                  </w:r>
                </w:p>
                <w:p w:rsidR="00120136" w:rsidRDefault="00120136">
                  <w:r w:rsidRPr="00120136">
                    <w:rPr>
                      <w:b/>
                    </w:rPr>
                    <w:t>Methods</w:t>
                  </w:r>
                  <w:r>
                    <w:t>:</w:t>
                  </w:r>
                </w:p>
                <w:p w:rsidR="00120136" w:rsidRDefault="00120136"/>
              </w:txbxContent>
            </v:textbox>
          </v:shape>
        </w:pict>
      </w: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120136" w:rsidRDefault="00120136"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E50CDF" w:rsidRDefault="00E50CDF" w:rsidP="00E50CDF">
      <w:pPr>
        <w:spacing w:after="0" w:line="240" w:lineRule="auto"/>
        <w:ind w:left="720"/>
        <w:rPr>
          <w:rFonts w:ascii="Times New Roman" w:hAnsi="Times New Roman" w:cs="Times New Roman"/>
        </w:rPr>
      </w:pPr>
    </w:p>
    <w:p w:rsidR="00C70F78" w:rsidRDefault="00120136" w:rsidP="00C70F78">
      <w:pPr>
        <w:spacing w:after="0" w:line="240" w:lineRule="auto"/>
        <w:ind w:left="720"/>
        <w:rPr>
          <w:rFonts w:ascii="Times New Roman" w:hAnsi="Times New Roman" w:cs="Times New Roman"/>
        </w:rPr>
      </w:pPr>
      <w:r>
        <w:rPr>
          <w:rFonts w:ascii="Times New Roman" w:hAnsi="Times New Roman" w:cs="Times New Roman"/>
        </w:rPr>
        <w:t xml:space="preserve">In practice, the next step toward developing a preliminary entity relationship model (ERM) is to continue through your list of </w:t>
      </w:r>
      <w:r w:rsidRPr="00C70F78">
        <w:rPr>
          <w:rFonts w:ascii="Times New Roman" w:hAnsi="Times New Roman" w:cs="Times New Roman"/>
          <w:i/>
        </w:rPr>
        <w:t>candidate classes</w:t>
      </w:r>
      <w:r>
        <w:rPr>
          <w:rFonts w:ascii="Times New Roman" w:hAnsi="Times New Roman" w:cs="Times New Roman"/>
        </w:rPr>
        <w:t xml:space="preserve"> and identify </w:t>
      </w:r>
      <w:r w:rsidRPr="00C70F78">
        <w:rPr>
          <w:rFonts w:ascii="Times New Roman" w:hAnsi="Times New Roman" w:cs="Times New Roman"/>
          <w:i/>
        </w:rPr>
        <w:t>candidate methods</w:t>
      </w:r>
      <w:r>
        <w:rPr>
          <w:rFonts w:ascii="Times New Roman" w:hAnsi="Times New Roman" w:cs="Times New Roman"/>
        </w:rPr>
        <w:t xml:space="preserve"> </w:t>
      </w:r>
      <w:r w:rsidR="00C70F78">
        <w:rPr>
          <w:rFonts w:ascii="Times New Roman" w:hAnsi="Times New Roman" w:cs="Times New Roman"/>
        </w:rPr>
        <w:t>associated with</w:t>
      </w:r>
      <w:r>
        <w:rPr>
          <w:rFonts w:ascii="Times New Roman" w:hAnsi="Times New Roman" w:cs="Times New Roman"/>
        </w:rPr>
        <w:t xml:space="preserve"> each </w:t>
      </w:r>
      <w:r w:rsidR="00C70F78">
        <w:rPr>
          <w:rFonts w:ascii="Times New Roman" w:hAnsi="Times New Roman" w:cs="Times New Roman"/>
        </w:rPr>
        <w:t>just as we did above. Following this, relationships between candidate classes are explored and drawn in as lines connecting the boxes.  In some cases, an expected relationship does not exist indicating you probably do not have a complete business problem statement.</w:t>
      </w:r>
    </w:p>
    <w:p w:rsidR="00C70F78" w:rsidRDefault="00C70F78" w:rsidP="00C70F78">
      <w:pPr>
        <w:spacing w:after="0" w:line="240" w:lineRule="auto"/>
        <w:ind w:left="720"/>
        <w:rPr>
          <w:rFonts w:ascii="Times New Roman" w:hAnsi="Times New Roman" w:cs="Times New Roman"/>
        </w:rPr>
      </w:pPr>
    </w:p>
    <w:p w:rsidR="00065F1D" w:rsidRDefault="00065F1D" w:rsidP="00C70F78">
      <w:pPr>
        <w:spacing w:after="0" w:line="240" w:lineRule="auto"/>
        <w:ind w:left="720"/>
        <w:rPr>
          <w:rFonts w:ascii="Times New Roman" w:hAnsi="Times New Roman" w:cs="Times New Roman"/>
        </w:rPr>
      </w:pPr>
    </w:p>
    <w:p w:rsidR="00065F1D" w:rsidRDefault="00065F1D" w:rsidP="00C70F78">
      <w:pPr>
        <w:spacing w:after="0" w:line="240" w:lineRule="auto"/>
        <w:ind w:left="720"/>
        <w:rPr>
          <w:rFonts w:ascii="Times New Roman" w:hAnsi="Times New Roman" w:cs="Times New Roman"/>
        </w:rPr>
      </w:pPr>
    </w:p>
    <w:p w:rsidR="00E50CDF" w:rsidRPr="006C1B4D" w:rsidRDefault="006C1B4D" w:rsidP="00E50CDF">
      <w:pPr>
        <w:numPr>
          <w:ilvl w:val="0"/>
          <w:numId w:val="2"/>
        </w:numPr>
        <w:spacing w:after="0" w:line="240" w:lineRule="auto"/>
        <w:rPr>
          <w:rFonts w:ascii="Times New Roman" w:hAnsi="Times New Roman" w:cs="Times New Roman"/>
          <w:color w:val="4F81BD" w:themeColor="accent1"/>
        </w:rPr>
      </w:pPr>
      <w:r w:rsidRPr="006C1B4D">
        <w:rPr>
          <w:rFonts w:ascii="Times New Roman" w:hAnsi="Times New Roman" w:cs="Times New Roman"/>
          <w:color w:val="4F81BD" w:themeColor="accent1"/>
        </w:rPr>
        <w:lastRenderedPageBreak/>
        <w:t xml:space="preserve">10 pts. </w:t>
      </w:r>
      <w:r w:rsidR="00E50CDF" w:rsidRPr="006C1B4D">
        <w:rPr>
          <w:rFonts w:ascii="Times New Roman" w:hAnsi="Times New Roman" w:cs="Times New Roman"/>
          <w:color w:val="4F81BD" w:themeColor="accent1"/>
        </w:rPr>
        <w:t xml:space="preserve">Paraphrase what happened in this exercise. </w:t>
      </w:r>
    </w:p>
    <w:p w:rsidR="00E50CDF" w:rsidRPr="00E50CDF" w:rsidRDefault="00E50CDF" w:rsidP="00E50CDF">
      <w:pPr>
        <w:ind w:left="360"/>
        <w:rPr>
          <w:rFonts w:ascii="Times New Roman" w:hAnsi="Times New Roman" w:cs="Times New Roman"/>
        </w:rPr>
      </w:pPr>
    </w:p>
    <w:p w:rsidR="00E50CDF" w:rsidRPr="00E50CDF" w:rsidRDefault="00E50CDF" w:rsidP="00E50CDF">
      <w:pPr>
        <w:ind w:left="360"/>
        <w:rPr>
          <w:rFonts w:ascii="Times New Roman" w:hAnsi="Times New Roman" w:cs="Times New Roman"/>
        </w:rPr>
      </w:pPr>
    </w:p>
    <w:p w:rsidR="00E50CDF" w:rsidRPr="00E50CDF" w:rsidRDefault="00E50CDF" w:rsidP="00E50CDF">
      <w:pPr>
        <w:ind w:left="360"/>
        <w:rPr>
          <w:rFonts w:ascii="Times New Roman" w:hAnsi="Times New Roman" w:cs="Times New Roman"/>
        </w:rPr>
      </w:pPr>
      <w:bookmarkStart w:id="0" w:name="_GoBack"/>
      <w:bookmarkEnd w:id="0"/>
    </w:p>
    <w:p w:rsidR="00E50CDF" w:rsidRPr="006C1B4D" w:rsidRDefault="006C1B4D" w:rsidP="00E50CDF">
      <w:pPr>
        <w:numPr>
          <w:ilvl w:val="0"/>
          <w:numId w:val="2"/>
        </w:numPr>
        <w:spacing w:after="0" w:line="240" w:lineRule="auto"/>
        <w:rPr>
          <w:rFonts w:ascii="Times New Roman" w:hAnsi="Times New Roman" w:cs="Times New Roman"/>
          <w:color w:val="4F81BD" w:themeColor="accent1"/>
        </w:rPr>
      </w:pPr>
      <w:r w:rsidRPr="006C1B4D">
        <w:rPr>
          <w:rFonts w:ascii="Times New Roman" w:hAnsi="Times New Roman" w:cs="Times New Roman"/>
          <w:color w:val="4F81BD" w:themeColor="accent1"/>
        </w:rPr>
        <w:t xml:space="preserve">10 pts. </w:t>
      </w:r>
      <w:r w:rsidR="00E50CDF" w:rsidRPr="006C1B4D">
        <w:rPr>
          <w:rFonts w:ascii="Times New Roman" w:hAnsi="Times New Roman" w:cs="Times New Roman"/>
          <w:color w:val="4F81BD" w:themeColor="accent1"/>
        </w:rPr>
        <w:t>State what you learned in this exercise.</w:t>
      </w:r>
    </w:p>
    <w:p w:rsidR="00E50CDF" w:rsidRPr="00E50CDF" w:rsidRDefault="00E50CDF" w:rsidP="00E50CDF">
      <w:pPr>
        <w:rPr>
          <w:rFonts w:ascii="Times New Roman" w:hAnsi="Times New Roman" w:cs="Times New Roman"/>
        </w:rPr>
      </w:pPr>
    </w:p>
    <w:p w:rsidR="00E50CDF" w:rsidRPr="00E50CDF" w:rsidRDefault="00E50CDF" w:rsidP="00E50CDF">
      <w:pPr>
        <w:rPr>
          <w:rFonts w:ascii="Times New Roman" w:hAnsi="Times New Roman" w:cs="Times New Roman"/>
        </w:rPr>
      </w:pPr>
    </w:p>
    <w:p w:rsidR="00E50CDF" w:rsidRPr="00E50CDF" w:rsidRDefault="00E50CDF" w:rsidP="00E50CDF">
      <w:pPr>
        <w:rPr>
          <w:rFonts w:ascii="Times New Roman" w:hAnsi="Times New Roman" w:cs="Times New Roman"/>
        </w:rPr>
      </w:pPr>
    </w:p>
    <w:p w:rsidR="00E50CDF" w:rsidRPr="006C1B4D" w:rsidRDefault="006C1B4D" w:rsidP="00E50CDF">
      <w:pPr>
        <w:numPr>
          <w:ilvl w:val="0"/>
          <w:numId w:val="2"/>
        </w:numPr>
        <w:spacing w:after="0" w:line="240" w:lineRule="auto"/>
        <w:rPr>
          <w:rFonts w:ascii="Times New Roman" w:hAnsi="Times New Roman" w:cs="Times New Roman"/>
          <w:color w:val="4F81BD" w:themeColor="accent1"/>
        </w:rPr>
      </w:pPr>
      <w:r w:rsidRPr="006C1B4D">
        <w:rPr>
          <w:rFonts w:ascii="Times New Roman" w:hAnsi="Times New Roman" w:cs="Times New Roman"/>
          <w:color w:val="4F81BD" w:themeColor="accent1"/>
        </w:rPr>
        <w:t xml:space="preserve">10 pts. </w:t>
      </w:r>
      <w:r w:rsidR="00E50CDF" w:rsidRPr="006C1B4D">
        <w:rPr>
          <w:rFonts w:ascii="Times New Roman" w:hAnsi="Times New Roman" w:cs="Times New Roman"/>
          <w:color w:val="4F81BD" w:themeColor="accent1"/>
        </w:rPr>
        <w:t>How do you feel about this experience (e.g., comfortable, confused, etc.)?</w:t>
      </w:r>
    </w:p>
    <w:p w:rsidR="00E50CDF" w:rsidRPr="00E50CDF" w:rsidRDefault="00E50CDF" w:rsidP="00E50CDF">
      <w:pPr>
        <w:ind w:left="360"/>
        <w:rPr>
          <w:rFonts w:ascii="Times New Roman" w:hAnsi="Times New Roman" w:cs="Times New Roman"/>
        </w:rPr>
      </w:pPr>
    </w:p>
    <w:p w:rsidR="00912E4B" w:rsidRDefault="00912E4B" w:rsidP="00074A89">
      <w:pPr>
        <w:rPr>
          <w:rFonts w:ascii="Times New Roman" w:hAnsi="Times New Roman" w:cs="Times New Roman"/>
        </w:rPr>
      </w:pPr>
    </w:p>
    <w:p w:rsidR="00912E4B" w:rsidRPr="00E50CDF" w:rsidRDefault="00912E4B" w:rsidP="00074A89">
      <w:pPr>
        <w:rPr>
          <w:rFonts w:ascii="Times New Roman" w:hAnsi="Times New Roman" w:cs="Times New Roman"/>
        </w:rPr>
      </w:pPr>
    </w:p>
    <w:p w:rsidR="00C61510" w:rsidRPr="00674DC5" w:rsidRDefault="00C61510" w:rsidP="00074A89">
      <w:pPr>
        <w:rPr>
          <w:rFonts w:ascii="Times New Roman" w:hAnsi="Times New Roman" w:cs="Times New Roman"/>
        </w:rPr>
      </w:pPr>
      <w:r w:rsidRPr="00674DC5">
        <w:rPr>
          <w:rFonts w:ascii="Times New Roman" w:hAnsi="Times New Roman" w:cs="Times New Roman"/>
        </w:rPr>
        <w:t>END</w:t>
      </w:r>
    </w:p>
    <w:sectPr w:rsidR="00C61510" w:rsidRPr="00674DC5" w:rsidSect="00FA576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FA9" w:rsidRDefault="00AC1FA9" w:rsidP="00C70F78">
      <w:pPr>
        <w:spacing w:after="0" w:line="240" w:lineRule="auto"/>
      </w:pPr>
      <w:r>
        <w:separator/>
      </w:r>
    </w:p>
  </w:endnote>
  <w:endnote w:type="continuationSeparator" w:id="0">
    <w:p w:rsidR="00AC1FA9" w:rsidRDefault="00AC1FA9" w:rsidP="00C70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807474"/>
      <w:docPartObj>
        <w:docPartGallery w:val="Page Numbers (Bottom of Page)"/>
        <w:docPartUnique/>
      </w:docPartObj>
    </w:sdtPr>
    <w:sdtEndPr>
      <w:rPr>
        <w:rFonts w:ascii="Times New Roman" w:hAnsi="Times New Roman" w:cs="Times New Roman"/>
        <w:noProof/>
        <w:sz w:val="20"/>
      </w:rPr>
    </w:sdtEndPr>
    <w:sdtContent>
      <w:p w:rsidR="00C70F78" w:rsidRPr="00C70F78" w:rsidRDefault="00C70F78">
        <w:pPr>
          <w:pStyle w:val="Footer"/>
          <w:jc w:val="center"/>
          <w:rPr>
            <w:rFonts w:ascii="Times New Roman" w:hAnsi="Times New Roman" w:cs="Times New Roman"/>
            <w:sz w:val="20"/>
          </w:rPr>
        </w:pPr>
        <w:r w:rsidRPr="00C70F78">
          <w:rPr>
            <w:rFonts w:ascii="Times New Roman" w:hAnsi="Times New Roman" w:cs="Times New Roman"/>
            <w:sz w:val="20"/>
          </w:rPr>
          <w:fldChar w:fldCharType="begin"/>
        </w:r>
        <w:r w:rsidRPr="00C70F78">
          <w:rPr>
            <w:rFonts w:ascii="Times New Roman" w:hAnsi="Times New Roman" w:cs="Times New Roman"/>
            <w:sz w:val="20"/>
          </w:rPr>
          <w:instrText xml:space="preserve"> PAGE   \* MERGEFORMAT </w:instrText>
        </w:r>
        <w:r w:rsidRPr="00C70F78">
          <w:rPr>
            <w:rFonts w:ascii="Times New Roman" w:hAnsi="Times New Roman" w:cs="Times New Roman"/>
            <w:sz w:val="20"/>
          </w:rPr>
          <w:fldChar w:fldCharType="separate"/>
        </w:r>
        <w:r w:rsidR="00430024">
          <w:rPr>
            <w:rFonts w:ascii="Times New Roman" w:hAnsi="Times New Roman" w:cs="Times New Roman"/>
            <w:noProof/>
            <w:sz w:val="20"/>
          </w:rPr>
          <w:t>3</w:t>
        </w:r>
        <w:r w:rsidRPr="00C70F78">
          <w:rPr>
            <w:rFonts w:ascii="Times New Roman" w:hAnsi="Times New Roman" w:cs="Times New Roman"/>
            <w:noProof/>
            <w:sz w:val="20"/>
          </w:rPr>
          <w:fldChar w:fldCharType="end"/>
        </w:r>
      </w:p>
    </w:sdtContent>
  </w:sdt>
  <w:p w:rsidR="00C70F78" w:rsidRDefault="00C70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FA9" w:rsidRDefault="00AC1FA9" w:rsidP="00C70F78">
      <w:pPr>
        <w:spacing w:after="0" w:line="240" w:lineRule="auto"/>
      </w:pPr>
      <w:r>
        <w:separator/>
      </w:r>
    </w:p>
  </w:footnote>
  <w:footnote w:type="continuationSeparator" w:id="0">
    <w:p w:rsidR="00AC1FA9" w:rsidRDefault="00AC1FA9" w:rsidP="00C70F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A5C"/>
    <w:multiLevelType w:val="multilevel"/>
    <w:tmpl w:val="92DC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132615"/>
    <w:multiLevelType w:val="hybridMultilevel"/>
    <w:tmpl w:val="48B82870"/>
    <w:lvl w:ilvl="0" w:tplc="0409000F">
      <w:start w:val="1"/>
      <w:numFmt w:val="decimal"/>
      <w:lvlText w:val="%1."/>
      <w:lvlJc w:val="left"/>
      <w:pPr>
        <w:tabs>
          <w:tab w:val="num" w:pos="720"/>
        </w:tabs>
        <w:ind w:left="720" w:hanging="360"/>
      </w:pPr>
    </w:lvl>
    <w:lvl w:ilvl="1" w:tplc="7E228184">
      <w:start w:val="1"/>
      <w:numFmt w:val="lowerLetter"/>
      <w:lvlText w:val="%2."/>
      <w:lvlJc w:val="left"/>
      <w:pPr>
        <w:tabs>
          <w:tab w:val="num" w:pos="1440"/>
        </w:tabs>
        <w:ind w:left="1440" w:hanging="360"/>
      </w:pPr>
    </w:lvl>
    <w:lvl w:ilvl="2" w:tplc="A6A2234E">
      <w:numFmt w:val="bullet"/>
      <w:lvlText w:val="-"/>
      <w:lvlJc w:val="left"/>
      <w:pPr>
        <w:tabs>
          <w:tab w:val="num" w:pos="2340"/>
        </w:tabs>
        <w:ind w:left="2340" w:hanging="360"/>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4A89"/>
    <w:rsid w:val="00035B77"/>
    <w:rsid w:val="00065F1D"/>
    <w:rsid w:val="00074A89"/>
    <w:rsid w:val="00120136"/>
    <w:rsid w:val="00125E1A"/>
    <w:rsid w:val="00236AE0"/>
    <w:rsid w:val="00292A09"/>
    <w:rsid w:val="002A7E38"/>
    <w:rsid w:val="002E1ED7"/>
    <w:rsid w:val="003A710B"/>
    <w:rsid w:val="00430024"/>
    <w:rsid w:val="004630EA"/>
    <w:rsid w:val="00513FF5"/>
    <w:rsid w:val="00590FB8"/>
    <w:rsid w:val="00612D98"/>
    <w:rsid w:val="00674DC5"/>
    <w:rsid w:val="006C1B4D"/>
    <w:rsid w:val="006C22BE"/>
    <w:rsid w:val="0081080D"/>
    <w:rsid w:val="00837686"/>
    <w:rsid w:val="00912E4B"/>
    <w:rsid w:val="00A049C0"/>
    <w:rsid w:val="00AC1FA9"/>
    <w:rsid w:val="00BB0E8A"/>
    <w:rsid w:val="00C273CD"/>
    <w:rsid w:val="00C37A67"/>
    <w:rsid w:val="00C61510"/>
    <w:rsid w:val="00C70F78"/>
    <w:rsid w:val="00CC6083"/>
    <w:rsid w:val="00D51D8B"/>
    <w:rsid w:val="00E50CDF"/>
    <w:rsid w:val="00F36489"/>
    <w:rsid w:val="00FA5764"/>
    <w:rsid w:val="00FD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E50D768-1255-45B7-BBF3-223647E4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7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4A89"/>
    <w:rPr>
      <w:color w:val="0145A7"/>
      <w:u w:val="single"/>
    </w:rPr>
  </w:style>
  <w:style w:type="paragraph" w:styleId="NormalWeb">
    <w:name w:val="Normal (Web)"/>
    <w:basedOn w:val="Normal"/>
    <w:uiPriority w:val="99"/>
    <w:semiHidden/>
    <w:unhideWhenUsed/>
    <w:rsid w:val="00074A89"/>
    <w:pPr>
      <w:spacing w:before="100" w:after="0" w:line="240" w:lineRule="auto"/>
    </w:pPr>
    <w:rPr>
      <w:rFonts w:ascii="Verdana" w:eastAsia="Times New Roman" w:hAnsi="Verdana" w:cs="Times New Roman"/>
      <w:sz w:val="20"/>
      <w:szCs w:val="20"/>
    </w:rPr>
  </w:style>
  <w:style w:type="character" w:customStyle="1" w:styleId="depthead1">
    <w:name w:val="depthead1"/>
    <w:basedOn w:val="DefaultParagraphFont"/>
    <w:rsid w:val="00074A89"/>
    <w:rPr>
      <w:rFonts w:ascii="Trebuchet MS" w:hAnsi="Trebuchet MS" w:hint="default"/>
      <w:sz w:val="27"/>
      <w:szCs w:val="27"/>
    </w:rPr>
  </w:style>
  <w:style w:type="character" w:styleId="Strong">
    <w:name w:val="Strong"/>
    <w:basedOn w:val="DefaultParagraphFont"/>
    <w:uiPriority w:val="22"/>
    <w:qFormat/>
    <w:rsid w:val="00074A89"/>
    <w:rPr>
      <w:b/>
      <w:bCs/>
    </w:rPr>
  </w:style>
  <w:style w:type="character" w:styleId="Emphasis">
    <w:name w:val="Emphasis"/>
    <w:basedOn w:val="DefaultParagraphFont"/>
    <w:uiPriority w:val="20"/>
    <w:qFormat/>
    <w:rsid w:val="00074A89"/>
    <w:rPr>
      <w:i/>
      <w:iCs/>
    </w:rPr>
  </w:style>
  <w:style w:type="paragraph" w:styleId="BalloonText">
    <w:name w:val="Balloon Text"/>
    <w:basedOn w:val="Normal"/>
    <w:link w:val="BalloonTextChar"/>
    <w:uiPriority w:val="99"/>
    <w:semiHidden/>
    <w:unhideWhenUsed/>
    <w:rsid w:val="00120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136"/>
    <w:rPr>
      <w:rFonts w:ascii="Tahoma" w:hAnsi="Tahoma" w:cs="Tahoma"/>
      <w:sz w:val="16"/>
      <w:szCs w:val="16"/>
    </w:rPr>
  </w:style>
  <w:style w:type="paragraph" w:styleId="Header">
    <w:name w:val="header"/>
    <w:basedOn w:val="Normal"/>
    <w:link w:val="HeaderChar"/>
    <w:uiPriority w:val="99"/>
    <w:unhideWhenUsed/>
    <w:rsid w:val="00C70F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F78"/>
  </w:style>
  <w:style w:type="paragraph" w:styleId="Footer">
    <w:name w:val="footer"/>
    <w:basedOn w:val="Normal"/>
    <w:link w:val="FooterChar"/>
    <w:uiPriority w:val="99"/>
    <w:unhideWhenUsed/>
    <w:rsid w:val="00C70F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F78"/>
  </w:style>
  <w:style w:type="table" w:styleId="TableGrid">
    <w:name w:val="Table Grid"/>
    <w:basedOn w:val="TableNormal"/>
    <w:uiPriority w:val="59"/>
    <w:rsid w:val="00065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77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akgov.com/health/" TargetMode="External"/><Relationship Id="rId13" Type="http://schemas.openxmlformats.org/officeDocument/2006/relationships/hyperlink" Target="https://www.oakgov.com/clemis/" TargetMode="External"/><Relationship Id="rId18" Type="http://schemas.openxmlformats.org/officeDocument/2006/relationships/hyperlink" Target="https://www.oakgov.com/erp/index.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oakgov.com/peds/" TargetMode="External"/><Relationship Id="rId12" Type="http://schemas.openxmlformats.org/officeDocument/2006/relationships/hyperlink" Target="https://www.oakgov.com/equal/" TargetMode="External"/><Relationship Id="rId17" Type="http://schemas.openxmlformats.org/officeDocument/2006/relationships/hyperlink" Target="https://www.oakgov.com/treasure/" TargetMode="External"/><Relationship Id="rId2" Type="http://schemas.openxmlformats.org/officeDocument/2006/relationships/styles" Target="styles.xml"/><Relationship Id="rId16" Type="http://schemas.openxmlformats.org/officeDocument/2006/relationships/hyperlink" Target="https://www.oakgov.com/avia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akgov.com/clerkrod/" TargetMode="External"/><Relationship Id="rId5" Type="http://schemas.openxmlformats.org/officeDocument/2006/relationships/footnotes" Target="footnotes.xml"/><Relationship Id="rId15" Type="http://schemas.openxmlformats.org/officeDocument/2006/relationships/hyperlink" Target="https://www.oakgov.com/efocus/jump_page/msu_ext_jp.html" TargetMode="External"/><Relationship Id="rId10" Type="http://schemas.openxmlformats.org/officeDocument/2006/relationships/hyperlink" Target="https://www.oakgov.com/general/rcocweb_jp.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oakgov.com/drain/" TargetMode="External"/><Relationship Id="rId14" Type="http://schemas.openxmlformats.org/officeDocument/2006/relationships/hyperlink" Target="https://www.oakgov.com/parksr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T. Weber</dc:creator>
  <cp:keywords/>
  <dc:description/>
  <cp:lastModifiedBy>Keith Weber</cp:lastModifiedBy>
  <cp:revision>16</cp:revision>
  <dcterms:created xsi:type="dcterms:W3CDTF">2008-01-07T17:57:00Z</dcterms:created>
  <dcterms:modified xsi:type="dcterms:W3CDTF">2023-05-31T17:22:00Z</dcterms:modified>
</cp:coreProperties>
</file>